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D4F2C" w14:textId="3E1149B8" w:rsidR="0058046F" w:rsidRDefault="00E02972">
      <w:pPr>
        <w:rPr>
          <w:rFonts w:ascii="Arial" w:hAnsi="Arial" w:cs="Arial"/>
          <w:sz w:val="24"/>
          <w:szCs w:val="24"/>
        </w:rPr>
      </w:pPr>
      <w:r>
        <w:rPr>
          <w:rFonts w:ascii="Arial" w:hAnsi="Arial" w:cs="Arial"/>
          <w:sz w:val="24"/>
          <w:szCs w:val="24"/>
        </w:rPr>
        <w:t>Proposed Cannabis Paper</w:t>
      </w:r>
    </w:p>
    <w:p w14:paraId="02531817" w14:textId="77777777" w:rsidR="0058046F" w:rsidRPr="000C1D70" w:rsidRDefault="000C1D70">
      <w:pPr>
        <w:rPr>
          <w:rFonts w:ascii="Arial" w:hAnsi="Arial" w:cs="Arial"/>
          <w:b/>
          <w:bCs/>
          <w:i/>
          <w:iCs/>
          <w:sz w:val="24"/>
          <w:szCs w:val="24"/>
        </w:rPr>
      </w:pPr>
      <w:r w:rsidRPr="000C1D70">
        <w:rPr>
          <w:rFonts w:ascii="Arial" w:hAnsi="Arial" w:cs="Arial"/>
          <w:b/>
          <w:bCs/>
          <w:i/>
          <w:iCs/>
          <w:sz w:val="24"/>
          <w:szCs w:val="24"/>
        </w:rPr>
        <w:t>Draft</w:t>
      </w:r>
    </w:p>
    <w:p w14:paraId="48CFDA4F" w14:textId="77777777" w:rsidR="00D31D99" w:rsidRPr="0058046F" w:rsidRDefault="00D31D99">
      <w:pPr>
        <w:rPr>
          <w:rFonts w:ascii="Arial" w:hAnsi="Arial" w:cs="Arial"/>
          <w:sz w:val="24"/>
          <w:szCs w:val="24"/>
        </w:rPr>
      </w:pPr>
      <w:r w:rsidRPr="0058046F">
        <w:rPr>
          <w:rFonts w:ascii="Arial" w:hAnsi="Arial" w:cs="Arial"/>
          <w:sz w:val="24"/>
          <w:szCs w:val="24"/>
        </w:rPr>
        <w:t>Posit</w:t>
      </w:r>
      <w:r w:rsidR="0069554C" w:rsidRPr="0058046F">
        <w:rPr>
          <w:rFonts w:ascii="Arial" w:hAnsi="Arial" w:cs="Arial"/>
          <w:sz w:val="24"/>
          <w:szCs w:val="24"/>
        </w:rPr>
        <w:t>i</w:t>
      </w:r>
      <w:r w:rsidRPr="0058046F">
        <w:rPr>
          <w:rFonts w:ascii="Arial" w:hAnsi="Arial" w:cs="Arial"/>
          <w:sz w:val="24"/>
          <w:szCs w:val="24"/>
        </w:rPr>
        <w:t>on: The Kansas Mental Health Coalition believes that trauma</w:t>
      </w:r>
      <w:r w:rsidR="0069554C" w:rsidRPr="0058046F">
        <w:rPr>
          <w:rFonts w:ascii="Arial" w:hAnsi="Arial" w:cs="Arial"/>
          <w:sz w:val="24"/>
          <w:szCs w:val="24"/>
        </w:rPr>
        <w:t xml:space="preserve"> caused by the criminality of cannabis possession </w:t>
      </w:r>
      <w:r w:rsidRPr="0058046F">
        <w:rPr>
          <w:rFonts w:ascii="Arial" w:hAnsi="Arial" w:cs="Arial"/>
          <w:sz w:val="24"/>
          <w:szCs w:val="24"/>
        </w:rPr>
        <w:t>should and can be avoided by eliminating the criminality thereof.</w:t>
      </w:r>
    </w:p>
    <w:p w14:paraId="68F6EC21" w14:textId="77777777" w:rsidR="00D31D99" w:rsidRPr="0058046F" w:rsidRDefault="00D31D99">
      <w:pPr>
        <w:rPr>
          <w:rFonts w:ascii="Arial" w:hAnsi="Arial" w:cs="Arial"/>
          <w:sz w:val="24"/>
          <w:szCs w:val="24"/>
        </w:rPr>
      </w:pPr>
      <w:r w:rsidRPr="0058046F">
        <w:rPr>
          <w:rFonts w:ascii="Arial" w:hAnsi="Arial" w:cs="Arial"/>
          <w:sz w:val="24"/>
          <w:szCs w:val="24"/>
        </w:rPr>
        <w:t>The Problem: The detainment, arrest, civil asset seizure, jailing and stigma that follows an interface with law enforcement due to the possession of cannabis is trauma inducing to all populations especially individuals who are trauma sensitive.</w:t>
      </w:r>
    </w:p>
    <w:p w14:paraId="63CDA041" w14:textId="77777777" w:rsidR="00D31D99" w:rsidRPr="0058046F" w:rsidRDefault="00D31D99">
      <w:pPr>
        <w:rPr>
          <w:rFonts w:ascii="Arial" w:hAnsi="Arial" w:cs="Arial"/>
          <w:sz w:val="24"/>
          <w:szCs w:val="24"/>
        </w:rPr>
      </w:pPr>
      <w:r w:rsidRPr="0058046F">
        <w:rPr>
          <w:rFonts w:ascii="Arial" w:hAnsi="Arial" w:cs="Arial"/>
          <w:sz w:val="24"/>
          <w:szCs w:val="24"/>
        </w:rPr>
        <w:t>Why This Matters:  Law Enforcement and Health</w:t>
      </w:r>
      <w:r w:rsidR="0069554C" w:rsidRPr="0058046F">
        <w:rPr>
          <w:rFonts w:ascii="Arial" w:hAnsi="Arial" w:cs="Arial"/>
          <w:sz w:val="24"/>
          <w:szCs w:val="24"/>
        </w:rPr>
        <w:t>c</w:t>
      </w:r>
      <w:r w:rsidRPr="0058046F">
        <w:rPr>
          <w:rFonts w:ascii="Arial" w:hAnsi="Arial" w:cs="Arial"/>
          <w:sz w:val="24"/>
          <w:szCs w:val="24"/>
        </w:rPr>
        <w:t xml:space="preserve">are resources are limited and scarce. Priority must be made to </w:t>
      </w:r>
      <w:r w:rsidR="0069554C" w:rsidRPr="0058046F">
        <w:rPr>
          <w:rFonts w:ascii="Arial" w:hAnsi="Arial" w:cs="Arial"/>
          <w:sz w:val="24"/>
          <w:szCs w:val="24"/>
        </w:rPr>
        <w:t xml:space="preserve">incapacitate or </w:t>
      </w:r>
      <w:r w:rsidRPr="0058046F">
        <w:rPr>
          <w:rFonts w:ascii="Arial" w:hAnsi="Arial" w:cs="Arial"/>
          <w:sz w:val="24"/>
          <w:szCs w:val="24"/>
        </w:rPr>
        <w:t>help</w:t>
      </w:r>
      <w:r w:rsidR="0069554C" w:rsidRPr="0058046F">
        <w:rPr>
          <w:rFonts w:ascii="Arial" w:hAnsi="Arial" w:cs="Arial"/>
          <w:sz w:val="24"/>
          <w:szCs w:val="24"/>
        </w:rPr>
        <w:t xml:space="preserve"> those</w:t>
      </w:r>
      <w:r w:rsidRPr="0058046F">
        <w:rPr>
          <w:rFonts w:ascii="Arial" w:hAnsi="Arial" w:cs="Arial"/>
          <w:sz w:val="24"/>
          <w:szCs w:val="24"/>
        </w:rPr>
        <w:t xml:space="preserve"> most in need and not the creation of need through</w:t>
      </w:r>
      <w:r w:rsidR="0069554C" w:rsidRPr="0058046F">
        <w:rPr>
          <w:rFonts w:ascii="Arial" w:hAnsi="Arial" w:cs="Arial"/>
          <w:sz w:val="24"/>
          <w:szCs w:val="24"/>
        </w:rPr>
        <w:t xml:space="preserve"> the</w:t>
      </w:r>
      <w:r w:rsidRPr="0058046F">
        <w:rPr>
          <w:rFonts w:ascii="Arial" w:hAnsi="Arial" w:cs="Arial"/>
          <w:sz w:val="24"/>
          <w:szCs w:val="24"/>
        </w:rPr>
        <w:t xml:space="preserve"> draconian</w:t>
      </w:r>
      <w:r w:rsidR="0069554C" w:rsidRPr="0058046F">
        <w:rPr>
          <w:rFonts w:ascii="Arial" w:hAnsi="Arial" w:cs="Arial"/>
          <w:sz w:val="24"/>
          <w:szCs w:val="24"/>
        </w:rPr>
        <w:t xml:space="preserve"> status and</w:t>
      </w:r>
      <w:r w:rsidRPr="0058046F">
        <w:rPr>
          <w:rFonts w:ascii="Arial" w:hAnsi="Arial" w:cs="Arial"/>
          <w:sz w:val="24"/>
          <w:szCs w:val="24"/>
        </w:rPr>
        <w:t xml:space="preserve"> enforcement of cannabis </w:t>
      </w:r>
      <w:r w:rsidR="000C1D70">
        <w:rPr>
          <w:rFonts w:ascii="Arial" w:hAnsi="Arial" w:cs="Arial"/>
          <w:sz w:val="24"/>
          <w:szCs w:val="24"/>
        </w:rPr>
        <w:t xml:space="preserve">possession </w:t>
      </w:r>
      <w:r w:rsidRPr="0058046F">
        <w:rPr>
          <w:rFonts w:ascii="Arial" w:hAnsi="Arial" w:cs="Arial"/>
          <w:sz w:val="24"/>
          <w:szCs w:val="24"/>
        </w:rPr>
        <w:t>criminality.</w:t>
      </w:r>
    </w:p>
    <w:p w14:paraId="6289B787" w14:textId="77777777" w:rsidR="00D31D99" w:rsidRDefault="00D31D99">
      <w:pPr>
        <w:rPr>
          <w:rFonts w:ascii="Arial" w:hAnsi="Arial" w:cs="Arial"/>
          <w:sz w:val="24"/>
          <w:szCs w:val="24"/>
        </w:rPr>
      </w:pPr>
      <w:r w:rsidRPr="0058046F">
        <w:rPr>
          <w:rFonts w:ascii="Arial" w:hAnsi="Arial" w:cs="Arial"/>
          <w:sz w:val="24"/>
          <w:szCs w:val="24"/>
        </w:rPr>
        <w:t>The Bottom Line: Nobody should be arrested for cannabis possession.</w:t>
      </w:r>
    </w:p>
    <w:p w14:paraId="58528EAF" w14:textId="77777777" w:rsidR="000C1D70" w:rsidRDefault="000C1D70">
      <w:pPr>
        <w:rPr>
          <w:rFonts w:ascii="Arial" w:hAnsi="Arial" w:cs="Arial"/>
          <w:sz w:val="24"/>
          <w:szCs w:val="24"/>
        </w:rPr>
      </w:pPr>
    </w:p>
    <w:p w14:paraId="7238A4D7" w14:textId="77777777" w:rsidR="000C1D70" w:rsidRPr="0058046F" w:rsidRDefault="000C1D70">
      <w:pPr>
        <w:rPr>
          <w:rFonts w:ascii="Arial" w:hAnsi="Arial" w:cs="Arial"/>
          <w:sz w:val="24"/>
          <w:szCs w:val="24"/>
        </w:rPr>
      </w:pPr>
      <w:r w:rsidRPr="000C1D70">
        <w:rPr>
          <w:rFonts w:ascii="Arial" w:hAnsi="Arial" w:cs="Arial"/>
          <w:sz w:val="24"/>
          <w:szCs w:val="24"/>
        </w:rPr>
        <w:t>Need more information? Drill deeper into this issue on the back of this page.</w:t>
      </w:r>
    </w:p>
    <w:p w14:paraId="0218C113" w14:textId="77777777" w:rsidR="0069554C" w:rsidRPr="0058046F" w:rsidRDefault="0069554C">
      <w:pPr>
        <w:rPr>
          <w:rFonts w:ascii="Arial" w:hAnsi="Arial" w:cs="Arial"/>
        </w:rPr>
      </w:pPr>
    </w:p>
    <w:p w14:paraId="0AB397D9" w14:textId="77777777" w:rsidR="00920AAB" w:rsidRPr="0058046F" w:rsidRDefault="00920AAB">
      <w:pPr>
        <w:rPr>
          <w:rFonts w:ascii="Arial" w:hAnsi="Arial" w:cs="Arial"/>
        </w:rPr>
      </w:pPr>
    </w:p>
    <w:p w14:paraId="26D51E2D" w14:textId="77777777" w:rsidR="00920AAB" w:rsidRPr="0058046F" w:rsidRDefault="00920AAB">
      <w:pPr>
        <w:rPr>
          <w:rFonts w:ascii="Arial" w:hAnsi="Arial" w:cs="Arial"/>
        </w:rPr>
      </w:pPr>
    </w:p>
    <w:p w14:paraId="58F3739C" w14:textId="77777777" w:rsidR="00920AAB" w:rsidRPr="0058046F" w:rsidRDefault="00920AAB">
      <w:pPr>
        <w:rPr>
          <w:rFonts w:ascii="Arial" w:hAnsi="Arial" w:cs="Arial"/>
        </w:rPr>
      </w:pPr>
    </w:p>
    <w:p w14:paraId="0EA71F60" w14:textId="77777777" w:rsidR="00920AAB" w:rsidRPr="0058046F" w:rsidRDefault="00920AAB">
      <w:pPr>
        <w:rPr>
          <w:rFonts w:ascii="Arial" w:hAnsi="Arial" w:cs="Arial"/>
        </w:rPr>
      </w:pPr>
    </w:p>
    <w:p w14:paraId="3C6B4CB0" w14:textId="77777777" w:rsidR="00920AAB" w:rsidRPr="0058046F" w:rsidRDefault="00920AAB">
      <w:pPr>
        <w:rPr>
          <w:rFonts w:ascii="Arial" w:hAnsi="Arial" w:cs="Arial"/>
        </w:rPr>
      </w:pPr>
    </w:p>
    <w:p w14:paraId="7B69D938" w14:textId="77777777" w:rsidR="00920AAB" w:rsidRPr="0058046F" w:rsidRDefault="00920AAB">
      <w:pPr>
        <w:rPr>
          <w:rFonts w:ascii="Arial" w:hAnsi="Arial" w:cs="Arial"/>
        </w:rPr>
      </w:pPr>
    </w:p>
    <w:p w14:paraId="26BF3F05" w14:textId="77777777" w:rsidR="00920AAB" w:rsidRPr="0058046F" w:rsidRDefault="00920AAB">
      <w:pPr>
        <w:rPr>
          <w:rFonts w:ascii="Arial" w:hAnsi="Arial" w:cs="Arial"/>
        </w:rPr>
      </w:pPr>
    </w:p>
    <w:p w14:paraId="11E15818" w14:textId="77777777" w:rsidR="00920AAB" w:rsidRPr="0058046F" w:rsidRDefault="00920AAB">
      <w:pPr>
        <w:rPr>
          <w:rFonts w:ascii="Arial" w:hAnsi="Arial" w:cs="Arial"/>
        </w:rPr>
      </w:pPr>
    </w:p>
    <w:p w14:paraId="0CFD49D1" w14:textId="77777777" w:rsidR="00920AAB" w:rsidRPr="0058046F" w:rsidRDefault="00920AAB">
      <w:pPr>
        <w:rPr>
          <w:rFonts w:ascii="Arial" w:hAnsi="Arial" w:cs="Arial"/>
        </w:rPr>
      </w:pPr>
    </w:p>
    <w:p w14:paraId="6C059A22" w14:textId="77777777" w:rsidR="00920AAB" w:rsidRPr="0058046F" w:rsidRDefault="00920AAB">
      <w:pPr>
        <w:rPr>
          <w:rFonts w:ascii="Arial" w:hAnsi="Arial" w:cs="Arial"/>
        </w:rPr>
      </w:pPr>
    </w:p>
    <w:p w14:paraId="2DF707EF" w14:textId="77777777" w:rsidR="00920AAB" w:rsidRPr="0058046F" w:rsidRDefault="00920AAB">
      <w:pPr>
        <w:rPr>
          <w:rFonts w:ascii="Arial" w:hAnsi="Arial" w:cs="Arial"/>
        </w:rPr>
      </w:pPr>
    </w:p>
    <w:p w14:paraId="78F81FC8" w14:textId="77777777" w:rsidR="00920AAB" w:rsidRPr="0058046F" w:rsidRDefault="00920AAB">
      <w:pPr>
        <w:rPr>
          <w:rFonts w:ascii="Arial" w:hAnsi="Arial" w:cs="Arial"/>
        </w:rPr>
      </w:pPr>
    </w:p>
    <w:p w14:paraId="61E83231" w14:textId="77777777" w:rsidR="00920AAB" w:rsidRPr="0058046F" w:rsidRDefault="00920AAB">
      <w:pPr>
        <w:rPr>
          <w:rFonts w:ascii="Arial" w:hAnsi="Arial" w:cs="Arial"/>
        </w:rPr>
      </w:pPr>
    </w:p>
    <w:p w14:paraId="23DA696E" w14:textId="77777777" w:rsidR="00920AAB" w:rsidRPr="0058046F" w:rsidRDefault="00920AAB">
      <w:pPr>
        <w:rPr>
          <w:rFonts w:ascii="Arial" w:hAnsi="Arial" w:cs="Arial"/>
        </w:rPr>
      </w:pPr>
    </w:p>
    <w:p w14:paraId="0D0B5C75" w14:textId="77777777" w:rsidR="00920AAB" w:rsidRPr="0058046F" w:rsidRDefault="00920AAB">
      <w:pPr>
        <w:rPr>
          <w:rFonts w:ascii="Arial" w:hAnsi="Arial" w:cs="Arial"/>
        </w:rPr>
      </w:pPr>
    </w:p>
    <w:p w14:paraId="07E6B086" w14:textId="77777777" w:rsidR="00920AAB" w:rsidRPr="0058046F" w:rsidRDefault="00920AAB">
      <w:pPr>
        <w:rPr>
          <w:rFonts w:ascii="Arial" w:hAnsi="Arial" w:cs="Arial"/>
        </w:rPr>
      </w:pPr>
    </w:p>
    <w:p w14:paraId="380ECB1D" w14:textId="77777777" w:rsidR="00920AAB" w:rsidRPr="0058046F" w:rsidRDefault="00920AAB">
      <w:pPr>
        <w:rPr>
          <w:rFonts w:ascii="Arial" w:hAnsi="Arial" w:cs="Arial"/>
        </w:rPr>
      </w:pPr>
    </w:p>
    <w:p w14:paraId="2A92E77C" w14:textId="77777777" w:rsidR="00920AAB" w:rsidRPr="0058046F" w:rsidRDefault="00920AAB">
      <w:pPr>
        <w:rPr>
          <w:rFonts w:ascii="Arial" w:hAnsi="Arial" w:cs="Arial"/>
        </w:rPr>
      </w:pPr>
    </w:p>
    <w:p w14:paraId="60C7529E" w14:textId="77777777" w:rsidR="00920AAB" w:rsidRPr="0058046F" w:rsidRDefault="00920AAB">
      <w:pPr>
        <w:rPr>
          <w:rFonts w:ascii="Arial" w:hAnsi="Arial" w:cs="Arial"/>
        </w:rPr>
      </w:pPr>
    </w:p>
    <w:p w14:paraId="59B957AE" w14:textId="77777777" w:rsidR="00920AAB" w:rsidRPr="0058046F" w:rsidRDefault="00920AAB">
      <w:pPr>
        <w:rPr>
          <w:rFonts w:ascii="Arial" w:hAnsi="Arial" w:cs="Arial"/>
        </w:rPr>
      </w:pPr>
    </w:p>
    <w:p w14:paraId="366597B6" w14:textId="77777777" w:rsidR="0069554C" w:rsidRPr="0058046F" w:rsidRDefault="0069554C">
      <w:pPr>
        <w:rPr>
          <w:rFonts w:ascii="Arial" w:hAnsi="Arial" w:cs="Arial"/>
        </w:rPr>
      </w:pPr>
      <w:r w:rsidRPr="0058046F">
        <w:rPr>
          <w:rFonts w:ascii="Arial" w:hAnsi="Arial" w:cs="Arial"/>
        </w:rPr>
        <w:t>The rest of the Story</w:t>
      </w:r>
    </w:p>
    <w:p w14:paraId="7279F15D" w14:textId="77777777" w:rsidR="0069554C" w:rsidRPr="0058046F" w:rsidRDefault="0069554C">
      <w:pPr>
        <w:rPr>
          <w:rFonts w:ascii="Arial" w:hAnsi="Arial" w:cs="Arial"/>
        </w:rPr>
      </w:pPr>
      <w:r w:rsidRPr="0058046F">
        <w:rPr>
          <w:rFonts w:ascii="Arial" w:hAnsi="Arial" w:cs="Arial"/>
        </w:rPr>
        <w:t>To fulfill this position completely, cannabis should be considered an exempt substance</w:t>
      </w:r>
      <w:r w:rsidR="000C1D70">
        <w:rPr>
          <w:rFonts w:ascii="Arial" w:hAnsi="Arial" w:cs="Arial"/>
        </w:rPr>
        <w:t>,</w:t>
      </w:r>
      <w:r w:rsidRPr="0058046F">
        <w:rPr>
          <w:rFonts w:ascii="Arial" w:hAnsi="Arial" w:cs="Arial"/>
        </w:rPr>
        <w:t xml:space="preserve"> like alcohol and tobacco and de-scheduled from the ‘Kansas Uniform Controlled Substances Act’ and regulated similarly</w:t>
      </w:r>
      <w:r w:rsidR="00920AAB" w:rsidRPr="0058046F">
        <w:rPr>
          <w:rFonts w:ascii="Arial" w:hAnsi="Arial" w:cs="Arial"/>
        </w:rPr>
        <w:t>.</w:t>
      </w:r>
    </w:p>
    <w:p w14:paraId="4B2D6B3B" w14:textId="77777777" w:rsidR="00920AAB" w:rsidRPr="0058046F" w:rsidRDefault="00920AAB">
      <w:pPr>
        <w:rPr>
          <w:rFonts w:ascii="Arial" w:hAnsi="Arial" w:cs="Arial"/>
        </w:rPr>
      </w:pPr>
      <w:r w:rsidRPr="0058046F">
        <w:rPr>
          <w:rFonts w:ascii="Arial" w:hAnsi="Arial" w:cs="Arial"/>
        </w:rPr>
        <w:t>This action will eliminate officer discretion regarding cannabis</w:t>
      </w:r>
      <w:r w:rsidR="0058046F">
        <w:rPr>
          <w:rFonts w:ascii="Arial" w:hAnsi="Arial" w:cs="Arial"/>
        </w:rPr>
        <w:t xml:space="preserve"> possession</w:t>
      </w:r>
      <w:r w:rsidRPr="0058046F">
        <w:rPr>
          <w:rFonts w:ascii="Arial" w:hAnsi="Arial" w:cs="Arial"/>
        </w:rPr>
        <w:t xml:space="preserve">, whereby, taking </w:t>
      </w:r>
      <w:r w:rsidR="0058046F">
        <w:rPr>
          <w:rFonts w:ascii="Arial" w:hAnsi="Arial" w:cs="Arial"/>
        </w:rPr>
        <w:t xml:space="preserve">it </w:t>
      </w:r>
      <w:r w:rsidRPr="0058046F">
        <w:rPr>
          <w:rFonts w:ascii="Arial" w:hAnsi="Arial" w:cs="Arial"/>
        </w:rPr>
        <w:t>off the table for the use as a weapon of discrimination and promoting public trust by eliminating asset seizure opportunities</w:t>
      </w:r>
      <w:r w:rsidR="000C1D70">
        <w:rPr>
          <w:rFonts w:ascii="Arial" w:hAnsi="Arial" w:cs="Arial"/>
        </w:rPr>
        <w:t>,</w:t>
      </w:r>
      <w:r w:rsidRPr="0058046F">
        <w:rPr>
          <w:rFonts w:ascii="Arial" w:hAnsi="Arial" w:cs="Arial"/>
        </w:rPr>
        <w:t xml:space="preserve"> as well</w:t>
      </w:r>
      <w:r w:rsidR="000C1D70">
        <w:rPr>
          <w:rFonts w:ascii="Arial" w:hAnsi="Arial" w:cs="Arial"/>
        </w:rPr>
        <w:t xml:space="preserve"> as, mitigating trauma</w:t>
      </w:r>
      <w:r w:rsidRPr="0058046F">
        <w:rPr>
          <w:rFonts w:ascii="Arial" w:hAnsi="Arial" w:cs="Arial"/>
        </w:rPr>
        <w:t>.</w:t>
      </w:r>
    </w:p>
    <w:p w14:paraId="28778662" w14:textId="77777777" w:rsidR="00920AAB" w:rsidRPr="0058046F" w:rsidRDefault="00920AAB">
      <w:pPr>
        <w:rPr>
          <w:rFonts w:ascii="Arial" w:hAnsi="Arial" w:cs="Arial"/>
        </w:rPr>
      </w:pPr>
    </w:p>
    <w:p w14:paraId="0C6B302D" w14:textId="77777777" w:rsidR="0058046F" w:rsidRDefault="0058046F" w:rsidP="00920AAB">
      <w:pPr>
        <w:rPr>
          <w:rFonts w:ascii="Arial" w:hAnsi="Arial" w:cs="Arial"/>
          <w:b/>
          <w:bCs/>
        </w:rPr>
      </w:pPr>
      <w:r w:rsidRPr="0058046F">
        <w:rPr>
          <w:rFonts w:ascii="Arial" w:hAnsi="Arial" w:cs="Arial"/>
          <w:b/>
          <w:bCs/>
        </w:rPr>
        <w:t>https://norml.org/marijuana/library/state-marijuana-arrests/kansas-marijuana-arrests/</w:t>
      </w:r>
    </w:p>
    <w:p w14:paraId="0723E845" w14:textId="77777777" w:rsidR="00920AAB" w:rsidRPr="00920AAB" w:rsidRDefault="00920AAB" w:rsidP="00920AAB">
      <w:pPr>
        <w:rPr>
          <w:rFonts w:ascii="Arial" w:hAnsi="Arial" w:cs="Arial"/>
          <w:b/>
          <w:bCs/>
        </w:rPr>
      </w:pPr>
      <w:r w:rsidRPr="00920AAB">
        <w:rPr>
          <w:rFonts w:ascii="Arial" w:hAnsi="Arial" w:cs="Arial"/>
          <w:b/>
          <w:bCs/>
        </w:rPr>
        <w:t>Kansas Marijuana Arrests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1"/>
        <w:gridCol w:w="611"/>
        <w:gridCol w:w="611"/>
        <w:gridCol w:w="611"/>
        <w:gridCol w:w="626"/>
      </w:tblGrid>
      <w:tr w:rsidR="00920AAB" w:rsidRPr="00920AAB" w14:paraId="55671322" w14:textId="77777777" w:rsidTr="00920AAB">
        <w:trPr>
          <w:tblHeader/>
          <w:tblCellSpacing w:w="15" w:type="dxa"/>
        </w:trPr>
        <w:tc>
          <w:tcPr>
            <w:tcW w:w="0" w:type="auto"/>
            <w:vAlign w:val="center"/>
            <w:hideMark/>
          </w:tcPr>
          <w:p w14:paraId="07926235" w14:textId="77777777" w:rsidR="00920AAB" w:rsidRPr="00920AAB" w:rsidRDefault="00920AAB" w:rsidP="00920AAB">
            <w:pPr>
              <w:rPr>
                <w:rFonts w:ascii="Arial" w:hAnsi="Arial" w:cs="Arial"/>
                <w:b/>
                <w:bCs/>
              </w:rPr>
            </w:pPr>
            <w:r w:rsidRPr="00920AAB">
              <w:rPr>
                <w:rFonts w:ascii="Arial" w:hAnsi="Arial" w:cs="Arial"/>
                <w:b/>
                <w:bCs/>
              </w:rPr>
              <w:t>Kansas</w:t>
            </w:r>
          </w:p>
        </w:tc>
        <w:tc>
          <w:tcPr>
            <w:tcW w:w="0" w:type="auto"/>
            <w:vAlign w:val="center"/>
            <w:hideMark/>
          </w:tcPr>
          <w:p w14:paraId="15CE3524" w14:textId="77777777" w:rsidR="00920AAB" w:rsidRPr="00920AAB" w:rsidRDefault="00920AAB" w:rsidP="00920AAB">
            <w:pPr>
              <w:rPr>
                <w:rFonts w:ascii="Arial" w:hAnsi="Arial" w:cs="Arial"/>
                <w:b/>
                <w:bCs/>
              </w:rPr>
            </w:pPr>
            <w:r w:rsidRPr="00920AAB">
              <w:rPr>
                <w:rFonts w:ascii="Arial" w:hAnsi="Arial" w:cs="Arial"/>
                <w:b/>
                <w:bCs/>
              </w:rPr>
              <w:t>2018</w:t>
            </w:r>
          </w:p>
        </w:tc>
        <w:tc>
          <w:tcPr>
            <w:tcW w:w="0" w:type="auto"/>
            <w:vAlign w:val="center"/>
            <w:hideMark/>
          </w:tcPr>
          <w:p w14:paraId="22D96E29" w14:textId="77777777" w:rsidR="00920AAB" w:rsidRPr="00920AAB" w:rsidRDefault="00920AAB" w:rsidP="00920AAB">
            <w:pPr>
              <w:rPr>
                <w:rFonts w:ascii="Arial" w:hAnsi="Arial" w:cs="Arial"/>
                <w:b/>
                <w:bCs/>
              </w:rPr>
            </w:pPr>
            <w:r w:rsidRPr="00920AAB">
              <w:rPr>
                <w:rFonts w:ascii="Arial" w:hAnsi="Arial" w:cs="Arial"/>
                <w:b/>
                <w:bCs/>
              </w:rPr>
              <w:t>2019</w:t>
            </w:r>
          </w:p>
        </w:tc>
        <w:tc>
          <w:tcPr>
            <w:tcW w:w="0" w:type="auto"/>
            <w:vAlign w:val="center"/>
            <w:hideMark/>
          </w:tcPr>
          <w:p w14:paraId="0A63EAB2" w14:textId="77777777" w:rsidR="00920AAB" w:rsidRPr="00920AAB" w:rsidRDefault="00920AAB" w:rsidP="00920AAB">
            <w:pPr>
              <w:rPr>
                <w:rFonts w:ascii="Arial" w:hAnsi="Arial" w:cs="Arial"/>
                <w:b/>
                <w:bCs/>
              </w:rPr>
            </w:pPr>
            <w:r w:rsidRPr="00920AAB">
              <w:rPr>
                <w:rFonts w:ascii="Arial" w:hAnsi="Arial" w:cs="Arial"/>
                <w:b/>
                <w:bCs/>
              </w:rPr>
              <w:t>2020</w:t>
            </w:r>
          </w:p>
        </w:tc>
        <w:tc>
          <w:tcPr>
            <w:tcW w:w="0" w:type="auto"/>
            <w:vAlign w:val="center"/>
            <w:hideMark/>
          </w:tcPr>
          <w:p w14:paraId="362F734D" w14:textId="77777777" w:rsidR="00920AAB" w:rsidRPr="00920AAB" w:rsidRDefault="00920AAB" w:rsidP="00920AAB">
            <w:pPr>
              <w:rPr>
                <w:rFonts w:ascii="Arial" w:hAnsi="Arial" w:cs="Arial"/>
                <w:b/>
                <w:bCs/>
              </w:rPr>
            </w:pPr>
            <w:r w:rsidRPr="00920AAB">
              <w:rPr>
                <w:rFonts w:ascii="Arial" w:hAnsi="Arial" w:cs="Arial"/>
                <w:b/>
                <w:bCs/>
              </w:rPr>
              <w:t>2021</w:t>
            </w:r>
          </w:p>
        </w:tc>
      </w:tr>
      <w:tr w:rsidR="00920AAB" w:rsidRPr="00920AAB" w14:paraId="57B4BFD8" w14:textId="77777777" w:rsidTr="00920AAB">
        <w:trPr>
          <w:tblCellSpacing w:w="15" w:type="dxa"/>
        </w:trPr>
        <w:tc>
          <w:tcPr>
            <w:tcW w:w="0" w:type="auto"/>
            <w:vAlign w:val="center"/>
            <w:hideMark/>
          </w:tcPr>
          <w:p w14:paraId="6E55E819" w14:textId="77777777" w:rsidR="00920AAB" w:rsidRPr="00920AAB" w:rsidRDefault="00920AAB" w:rsidP="00920AAB">
            <w:pPr>
              <w:rPr>
                <w:rFonts w:ascii="Arial" w:hAnsi="Arial" w:cs="Arial"/>
              </w:rPr>
            </w:pPr>
            <w:r w:rsidRPr="00920AAB">
              <w:rPr>
                <w:rFonts w:ascii="Arial" w:hAnsi="Arial" w:cs="Arial"/>
              </w:rPr>
              <w:t>Possession</w:t>
            </w:r>
          </w:p>
        </w:tc>
        <w:tc>
          <w:tcPr>
            <w:tcW w:w="0" w:type="auto"/>
            <w:vAlign w:val="center"/>
            <w:hideMark/>
          </w:tcPr>
          <w:p w14:paraId="70B604BC" w14:textId="77777777" w:rsidR="00920AAB" w:rsidRPr="00920AAB" w:rsidRDefault="00920AAB" w:rsidP="00920AAB">
            <w:pPr>
              <w:rPr>
                <w:rFonts w:ascii="Arial" w:hAnsi="Arial" w:cs="Arial"/>
              </w:rPr>
            </w:pPr>
            <w:r w:rsidRPr="00920AAB">
              <w:rPr>
                <w:rFonts w:ascii="Arial" w:hAnsi="Arial" w:cs="Arial"/>
              </w:rPr>
              <w:t>1,166</w:t>
            </w:r>
          </w:p>
        </w:tc>
        <w:tc>
          <w:tcPr>
            <w:tcW w:w="0" w:type="auto"/>
            <w:vAlign w:val="center"/>
            <w:hideMark/>
          </w:tcPr>
          <w:p w14:paraId="11E091AB" w14:textId="77777777" w:rsidR="00920AAB" w:rsidRPr="00920AAB" w:rsidRDefault="00920AAB" w:rsidP="00920AAB">
            <w:pPr>
              <w:rPr>
                <w:rFonts w:ascii="Arial" w:hAnsi="Arial" w:cs="Arial"/>
              </w:rPr>
            </w:pPr>
            <w:r w:rsidRPr="00920AAB">
              <w:rPr>
                <w:rFonts w:ascii="Arial" w:hAnsi="Arial" w:cs="Arial"/>
              </w:rPr>
              <w:t>4,564</w:t>
            </w:r>
          </w:p>
        </w:tc>
        <w:tc>
          <w:tcPr>
            <w:tcW w:w="0" w:type="auto"/>
            <w:vAlign w:val="center"/>
            <w:hideMark/>
          </w:tcPr>
          <w:p w14:paraId="6F40F9DA" w14:textId="77777777" w:rsidR="00920AAB" w:rsidRPr="00920AAB" w:rsidRDefault="00920AAB" w:rsidP="00920AAB">
            <w:pPr>
              <w:rPr>
                <w:rFonts w:ascii="Arial" w:hAnsi="Arial" w:cs="Arial"/>
              </w:rPr>
            </w:pPr>
            <w:r w:rsidRPr="00920AAB">
              <w:rPr>
                <w:rFonts w:ascii="Arial" w:hAnsi="Arial" w:cs="Arial"/>
              </w:rPr>
              <w:t>4,360</w:t>
            </w:r>
          </w:p>
        </w:tc>
        <w:tc>
          <w:tcPr>
            <w:tcW w:w="0" w:type="auto"/>
            <w:vAlign w:val="center"/>
            <w:hideMark/>
          </w:tcPr>
          <w:p w14:paraId="2ABE0AE5" w14:textId="77777777" w:rsidR="00920AAB" w:rsidRPr="00920AAB" w:rsidRDefault="00920AAB" w:rsidP="00920AAB">
            <w:pPr>
              <w:rPr>
                <w:rFonts w:ascii="Arial" w:hAnsi="Arial" w:cs="Arial"/>
              </w:rPr>
            </w:pPr>
            <w:r w:rsidRPr="00920AAB">
              <w:rPr>
                <w:rFonts w:ascii="Arial" w:hAnsi="Arial" w:cs="Arial"/>
              </w:rPr>
              <w:t>3,967</w:t>
            </w:r>
          </w:p>
        </w:tc>
      </w:tr>
      <w:tr w:rsidR="00920AAB" w:rsidRPr="00920AAB" w14:paraId="69F572D7" w14:textId="77777777" w:rsidTr="00920AAB">
        <w:trPr>
          <w:tblCellSpacing w:w="15" w:type="dxa"/>
        </w:trPr>
        <w:tc>
          <w:tcPr>
            <w:tcW w:w="0" w:type="auto"/>
            <w:vAlign w:val="center"/>
            <w:hideMark/>
          </w:tcPr>
          <w:p w14:paraId="4C309457" w14:textId="77777777" w:rsidR="00920AAB" w:rsidRPr="00920AAB" w:rsidRDefault="00920AAB" w:rsidP="00920AAB">
            <w:pPr>
              <w:rPr>
                <w:rFonts w:ascii="Arial" w:hAnsi="Arial" w:cs="Arial"/>
              </w:rPr>
            </w:pPr>
            <w:r w:rsidRPr="00920AAB">
              <w:rPr>
                <w:rFonts w:ascii="Arial" w:hAnsi="Arial" w:cs="Arial"/>
              </w:rPr>
              <w:t>Sales</w:t>
            </w:r>
          </w:p>
        </w:tc>
        <w:tc>
          <w:tcPr>
            <w:tcW w:w="0" w:type="auto"/>
            <w:vAlign w:val="center"/>
            <w:hideMark/>
          </w:tcPr>
          <w:p w14:paraId="7EB7A365" w14:textId="77777777" w:rsidR="00920AAB" w:rsidRPr="00920AAB" w:rsidRDefault="00920AAB" w:rsidP="00920AAB">
            <w:pPr>
              <w:rPr>
                <w:rFonts w:ascii="Arial" w:hAnsi="Arial" w:cs="Arial"/>
              </w:rPr>
            </w:pPr>
            <w:r w:rsidRPr="00920AAB">
              <w:rPr>
                <w:rFonts w:ascii="Arial" w:hAnsi="Arial" w:cs="Arial"/>
              </w:rPr>
              <w:t>222</w:t>
            </w:r>
          </w:p>
        </w:tc>
        <w:tc>
          <w:tcPr>
            <w:tcW w:w="0" w:type="auto"/>
            <w:vAlign w:val="center"/>
            <w:hideMark/>
          </w:tcPr>
          <w:p w14:paraId="66045911" w14:textId="77777777" w:rsidR="00920AAB" w:rsidRPr="00920AAB" w:rsidRDefault="00920AAB" w:rsidP="00920AAB">
            <w:pPr>
              <w:rPr>
                <w:rFonts w:ascii="Arial" w:hAnsi="Arial" w:cs="Arial"/>
              </w:rPr>
            </w:pPr>
            <w:r w:rsidRPr="00920AAB">
              <w:rPr>
                <w:rFonts w:ascii="Arial" w:hAnsi="Arial" w:cs="Arial"/>
              </w:rPr>
              <w:t>566</w:t>
            </w:r>
          </w:p>
        </w:tc>
        <w:tc>
          <w:tcPr>
            <w:tcW w:w="0" w:type="auto"/>
            <w:vAlign w:val="center"/>
            <w:hideMark/>
          </w:tcPr>
          <w:p w14:paraId="4FD9D949" w14:textId="77777777" w:rsidR="00920AAB" w:rsidRPr="00920AAB" w:rsidRDefault="00920AAB" w:rsidP="00920AAB">
            <w:pPr>
              <w:rPr>
                <w:rFonts w:ascii="Arial" w:hAnsi="Arial" w:cs="Arial"/>
              </w:rPr>
            </w:pPr>
            <w:r w:rsidRPr="00920AAB">
              <w:rPr>
                <w:rFonts w:ascii="Arial" w:hAnsi="Arial" w:cs="Arial"/>
              </w:rPr>
              <w:t>486</w:t>
            </w:r>
          </w:p>
        </w:tc>
        <w:tc>
          <w:tcPr>
            <w:tcW w:w="0" w:type="auto"/>
            <w:vAlign w:val="center"/>
            <w:hideMark/>
          </w:tcPr>
          <w:p w14:paraId="7371A5E0" w14:textId="77777777" w:rsidR="00920AAB" w:rsidRPr="00920AAB" w:rsidRDefault="00920AAB" w:rsidP="00920AAB">
            <w:pPr>
              <w:rPr>
                <w:rFonts w:ascii="Arial" w:hAnsi="Arial" w:cs="Arial"/>
              </w:rPr>
            </w:pPr>
            <w:r w:rsidRPr="00920AAB">
              <w:rPr>
                <w:rFonts w:ascii="Arial" w:hAnsi="Arial" w:cs="Arial"/>
              </w:rPr>
              <w:t>373</w:t>
            </w:r>
          </w:p>
        </w:tc>
      </w:tr>
      <w:tr w:rsidR="00920AAB" w:rsidRPr="00920AAB" w14:paraId="172F6AFD" w14:textId="77777777" w:rsidTr="00920AAB">
        <w:trPr>
          <w:tblCellSpacing w:w="15" w:type="dxa"/>
        </w:trPr>
        <w:tc>
          <w:tcPr>
            <w:tcW w:w="0" w:type="auto"/>
            <w:vAlign w:val="center"/>
            <w:hideMark/>
          </w:tcPr>
          <w:p w14:paraId="084394AD" w14:textId="77777777" w:rsidR="00920AAB" w:rsidRPr="00920AAB" w:rsidRDefault="00920AAB" w:rsidP="00920AAB">
            <w:pPr>
              <w:rPr>
                <w:rFonts w:ascii="Arial" w:hAnsi="Arial" w:cs="Arial"/>
              </w:rPr>
            </w:pPr>
            <w:r w:rsidRPr="00920AAB">
              <w:rPr>
                <w:rFonts w:ascii="Arial" w:hAnsi="Arial" w:cs="Arial"/>
              </w:rPr>
              <w:t>Total</w:t>
            </w:r>
          </w:p>
        </w:tc>
        <w:tc>
          <w:tcPr>
            <w:tcW w:w="0" w:type="auto"/>
            <w:vAlign w:val="center"/>
            <w:hideMark/>
          </w:tcPr>
          <w:p w14:paraId="23AB59E9" w14:textId="77777777" w:rsidR="00920AAB" w:rsidRPr="00920AAB" w:rsidRDefault="00920AAB" w:rsidP="00920AAB">
            <w:pPr>
              <w:rPr>
                <w:rFonts w:ascii="Arial" w:hAnsi="Arial" w:cs="Arial"/>
              </w:rPr>
            </w:pPr>
            <w:r w:rsidRPr="00920AAB">
              <w:rPr>
                <w:rFonts w:ascii="Arial" w:hAnsi="Arial" w:cs="Arial"/>
              </w:rPr>
              <w:t>1,388</w:t>
            </w:r>
          </w:p>
        </w:tc>
        <w:tc>
          <w:tcPr>
            <w:tcW w:w="0" w:type="auto"/>
            <w:vAlign w:val="center"/>
            <w:hideMark/>
          </w:tcPr>
          <w:p w14:paraId="7FA507CC" w14:textId="77777777" w:rsidR="00920AAB" w:rsidRPr="00920AAB" w:rsidRDefault="00920AAB" w:rsidP="00920AAB">
            <w:pPr>
              <w:rPr>
                <w:rFonts w:ascii="Arial" w:hAnsi="Arial" w:cs="Arial"/>
              </w:rPr>
            </w:pPr>
            <w:r w:rsidRPr="00920AAB">
              <w:rPr>
                <w:rFonts w:ascii="Arial" w:hAnsi="Arial" w:cs="Arial"/>
              </w:rPr>
              <w:t>5,130</w:t>
            </w:r>
          </w:p>
        </w:tc>
        <w:tc>
          <w:tcPr>
            <w:tcW w:w="0" w:type="auto"/>
            <w:vAlign w:val="center"/>
            <w:hideMark/>
          </w:tcPr>
          <w:p w14:paraId="79291A3D" w14:textId="77777777" w:rsidR="00920AAB" w:rsidRPr="00920AAB" w:rsidRDefault="00920AAB" w:rsidP="00920AAB">
            <w:pPr>
              <w:rPr>
                <w:rFonts w:ascii="Arial" w:hAnsi="Arial" w:cs="Arial"/>
              </w:rPr>
            </w:pPr>
            <w:r w:rsidRPr="00920AAB">
              <w:rPr>
                <w:rFonts w:ascii="Arial" w:hAnsi="Arial" w:cs="Arial"/>
              </w:rPr>
              <w:t>4,846</w:t>
            </w:r>
          </w:p>
        </w:tc>
        <w:tc>
          <w:tcPr>
            <w:tcW w:w="0" w:type="auto"/>
            <w:vAlign w:val="center"/>
            <w:hideMark/>
          </w:tcPr>
          <w:p w14:paraId="38E07D30" w14:textId="77777777" w:rsidR="00920AAB" w:rsidRPr="00920AAB" w:rsidRDefault="00920AAB" w:rsidP="00920AAB">
            <w:pPr>
              <w:rPr>
                <w:rFonts w:ascii="Arial" w:hAnsi="Arial" w:cs="Arial"/>
              </w:rPr>
            </w:pPr>
            <w:r w:rsidRPr="00920AAB">
              <w:rPr>
                <w:rFonts w:ascii="Arial" w:hAnsi="Arial" w:cs="Arial"/>
              </w:rPr>
              <w:t>4,340</w:t>
            </w:r>
          </w:p>
        </w:tc>
      </w:tr>
      <w:tr w:rsidR="00920AAB" w:rsidRPr="00920AAB" w14:paraId="5CC7DFE5" w14:textId="77777777" w:rsidTr="00920AAB">
        <w:trPr>
          <w:tblCellSpacing w:w="15" w:type="dxa"/>
        </w:trPr>
        <w:tc>
          <w:tcPr>
            <w:tcW w:w="0" w:type="auto"/>
            <w:vAlign w:val="center"/>
            <w:hideMark/>
          </w:tcPr>
          <w:p w14:paraId="11282981" w14:textId="77777777" w:rsidR="00920AAB" w:rsidRPr="00920AAB" w:rsidRDefault="00920AAB" w:rsidP="00920AAB">
            <w:pPr>
              <w:rPr>
                <w:rFonts w:ascii="Arial" w:hAnsi="Arial" w:cs="Arial"/>
              </w:rPr>
            </w:pPr>
            <w:r w:rsidRPr="00920AAB">
              <w:rPr>
                <w:rFonts w:ascii="Arial" w:hAnsi="Arial" w:cs="Arial"/>
              </w:rPr>
              <w:t>MJ Arrests</w:t>
            </w:r>
          </w:p>
        </w:tc>
        <w:tc>
          <w:tcPr>
            <w:tcW w:w="0" w:type="auto"/>
            <w:vAlign w:val="center"/>
            <w:hideMark/>
          </w:tcPr>
          <w:p w14:paraId="4CCCF92D" w14:textId="77777777" w:rsidR="00920AAB" w:rsidRPr="00920AAB" w:rsidRDefault="00920AAB" w:rsidP="00920AAB">
            <w:pPr>
              <w:rPr>
                <w:rFonts w:ascii="Arial" w:hAnsi="Arial" w:cs="Arial"/>
              </w:rPr>
            </w:pPr>
            <w:r w:rsidRPr="00920AAB">
              <w:rPr>
                <w:rFonts w:ascii="Arial" w:hAnsi="Arial" w:cs="Arial"/>
              </w:rPr>
              <w:t>55%</w:t>
            </w:r>
          </w:p>
        </w:tc>
        <w:tc>
          <w:tcPr>
            <w:tcW w:w="0" w:type="auto"/>
            <w:vAlign w:val="center"/>
            <w:hideMark/>
          </w:tcPr>
          <w:p w14:paraId="6E801FD7" w14:textId="77777777" w:rsidR="00920AAB" w:rsidRPr="00920AAB" w:rsidRDefault="00920AAB" w:rsidP="00920AAB">
            <w:pPr>
              <w:rPr>
                <w:rFonts w:ascii="Arial" w:hAnsi="Arial" w:cs="Arial"/>
              </w:rPr>
            </w:pPr>
            <w:r w:rsidRPr="00920AAB">
              <w:rPr>
                <w:rFonts w:ascii="Arial" w:hAnsi="Arial" w:cs="Arial"/>
              </w:rPr>
              <w:t>21%</w:t>
            </w:r>
          </w:p>
        </w:tc>
        <w:tc>
          <w:tcPr>
            <w:tcW w:w="0" w:type="auto"/>
            <w:vAlign w:val="center"/>
            <w:hideMark/>
          </w:tcPr>
          <w:p w14:paraId="44527BE8" w14:textId="77777777" w:rsidR="00920AAB" w:rsidRPr="00920AAB" w:rsidRDefault="00920AAB" w:rsidP="00920AAB">
            <w:pPr>
              <w:rPr>
                <w:rFonts w:ascii="Arial" w:hAnsi="Arial" w:cs="Arial"/>
              </w:rPr>
            </w:pPr>
            <w:r w:rsidRPr="00920AAB">
              <w:rPr>
                <w:rFonts w:ascii="Arial" w:hAnsi="Arial" w:cs="Arial"/>
              </w:rPr>
              <w:t>53%</w:t>
            </w:r>
          </w:p>
        </w:tc>
        <w:tc>
          <w:tcPr>
            <w:tcW w:w="0" w:type="auto"/>
            <w:vAlign w:val="center"/>
            <w:hideMark/>
          </w:tcPr>
          <w:p w14:paraId="2B68566A" w14:textId="77777777" w:rsidR="00920AAB" w:rsidRPr="00920AAB" w:rsidRDefault="00920AAB" w:rsidP="00920AAB">
            <w:pPr>
              <w:rPr>
                <w:rFonts w:ascii="Arial" w:hAnsi="Arial" w:cs="Arial"/>
              </w:rPr>
            </w:pPr>
            <w:r w:rsidRPr="00920AAB">
              <w:rPr>
                <w:rFonts w:ascii="Arial" w:hAnsi="Arial" w:cs="Arial"/>
              </w:rPr>
              <w:t>50%</w:t>
            </w:r>
          </w:p>
        </w:tc>
      </w:tr>
      <w:tr w:rsidR="00920AAB" w:rsidRPr="00920AAB" w14:paraId="7B62D469" w14:textId="77777777" w:rsidTr="00920AAB">
        <w:trPr>
          <w:tblCellSpacing w:w="15" w:type="dxa"/>
        </w:trPr>
        <w:tc>
          <w:tcPr>
            <w:tcW w:w="0" w:type="auto"/>
            <w:vAlign w:val="center"/>
            <w:hideMark/>
          </w:tcPr>
          <w:p w14:paraId="7AE547A7" w14:textId="77777777" w:rsidR="00920AAB" w:rsidRPr="00920AAB" w:rsidRDefault="00920AAB" w:rsidP="00920AAB">
            <w:pPr>
              <w:rPr>
                <w:rFonts w:ascii="Arial" w:hAnsi="Arial" w:cs="Arial"/>
              </w:rPr>
            </w:pPr>
            <w:r w:rsidRPr="00920AAB">
              <w:rPr>
                <w:rFonts w:ascii="Arial" w:hAnsi="Arial" w:cs="Arial"/>
              </w:rPr>
              <w:t>Agencies</w:t>
            </w:r>
          </w:p>
        </w:tc>
        <w:tc>
          <w:tcPr>
            <w:tcW w:w="0" w:type="auto"/>
            <w:vAlign w:val="center"/>
            <w:hideMark/>
          </w:tcPr>
          <w:p w14:paraId="48FACE59" w14:textId="77777777" w:rsidR="00920AAB" w:rsidRPr="00920AAB" w:rsidRDefault="00920AAB" w:rsidP="00920AAB">
            <w:pPr>
              <w:rPr>
                <w:rFonts w:ascii="Arial" w:hAnsi="Arial" w:cs="Arial"/>
              </w:rPr>
            </w:pPr>
            <w:r w:rsidRPr="00920AAB">
              <w:rPr>
                <w:rFonts w:ascii="Arial" w:hAnsi="Arial" w:cs="Arial"/>
              </w:rPr>
              <w:t>59%</w:t>
            </w:r>
          </w:p>
        </w:tc>
        <w:tc>
          <w:tcPr>
            <w:tcW w:w="0" w:type="auto"/>
            <w:vAlign w:val="center"/>
            <w:hideMark/>
          </w:tcPr>
          <w:p w14:paraId="58CB0FC3" w14:textId="77777777" w:rsidR="00920AAB" w:rsidRPr="00920AAB" w:rsidRDefault="00920AAB" w:rsidP="00920AAB">
            <w:pPr>
              <w:rPr>
                <w:rFonts w:ascii="Arial" w:hAnsi="Arial" w:cs="Arial"/>
              </w:rPr>
            </w:pPr>
            <w:r w:rsidRPr="00920AAB">
              <w:rPr>
                <w:rFonts w:ascii="Arial" w:hAnsi="Arial" w:cs="Arial"/>
              </w:rPr>
              <w:t>63%</w:t>
            </w:r>
          </w:p>
        </w:tc>
        <w:tc>
          <w:tcPr>
            <w:tcW w:w="0" w:type="auto"/>
            <w:vAlign w:val="center"/>
            <w:hideMark/>
          </w:tcPr>
          <w:p w14:paraId="0128871B" w14:textId="77777777" w:rsidR="00920AAB" w:rsidRPr="00920AAB" w:rsidRDefault="00920AAB" w:rsidP="00920AAB">
            <w:pPr>
              <w:rPr>
                <w:rFonts w:ascii="Arial" w:hAnsi="Arial" w:cs="Arial"/>
              </w:rPr>
            </w:pPr>
            <w:r w:rsidRPr="00920AAB">
              <w:rPr>
                <w:rFonts w:ascii="Arial" w:hAnsi="Arial" w:cs="Arial"/>
              </w:rPr>
              <w:t>53%</w:t>
            </w:r>
          </w:p>
        </w:tc>
        <w:tc>
          <w:tcPr>
            <w:tcW w:w="0" w:type="auto"/>
            <w:vAlign w:val="center"/>
            <w:hideMark/>
          </w:tcPr>
          <w:p w14:paraId="0AD3D36E" w14:textId="77777777" w:rsidR="00920AAB" w:rsidRPr="00920AAB" w:rsidRDefault="00920AAB" w:rsidP="00920AAB">
            <w:pPr>
              <w:rPr>
                <w:rFonts w:ascii="Arial" w:hAnsi="Arial" w:cs="Arial"/>
              </w:rPr>
            </w:pPr>
            <w:r w:rsidRPr="00920AAB">
              <w:rPr>
                <w:rFonts w:ascii="Arial" w:hAnsi="Arial" w:cs="Arial"/>
              </w:rPr>
              <w:t>47%</w:t>
            </w:r>
          </w:p>
        </w:tc>
      </w:tr>
    </w:tbl>
    <w:p w14:paraId="197BC75B" w14:textId="77777777" w:rsidR="00920AAB" w:rsidRPr="00920AAB" w:rsidRDefault="00920AAB" w:rsidP="00920AAB">
      <w:pPr>
        <w:rPr>
          <w:rFonts w:ascii="Arial" w:hAnsi="Arial" w:cs="Arial"/>
          <w:b/>
          <w:bCs/>
        </w:rPr>
      </w:pPr>
      <w:r w:rsidRPr="00920AAB">
        <w:rPr>
          <w:rFonts w:ascii="Arial" w:hAnsi="Arial" w:cs="Arial"/>
        </w:rPr>
        <w:t xml:space="preserve">State-specific marijuana-related arrest data is provided in rows 1, 2, and 3. This arrest data is provided to the FBI on an annual basis by the National Incident-Based Reporting System (NIBRS). </w:t>
      </w:r>
      <w:r w:rsidRPr="00920AAB">
        <w:rPr>
          <w:rFonts w:ascii="Arial" w:hAnsi="Arial" w:cs="Arial"/>
          <w:b/>
          <w:bCs/>
        </w:rPr>
        <w:t>In most instances, the data provided is incomplete and represents an underreport of the total number of actual marijuana-related arrests that occurred in the state because not all participating law enforcement agencies provide data to NIBRS in a timely fashion. </w:t>
      </w:r>
    </w:p>
    <w:p w14:paraId="3C9BAC06" w14:textId="77777777" w:rsidR="00920AAB" w:rsidRPr="00920AAB" w:rsidRDefault="00920AAB" w:rsidP="00920AAB">
      <w:pPr>
        <w:rPr>
          <w:rFonts w:ascii="Arial" w:hAnsi="Arial" w:cs="Arial"/>
        </w:rPr>
      </w:pPr>
      <w:r w:rsidRPr="00920AAB">
        <w:rPr>
          <w:rFonts w:ascii="Arial" w:hAnsi="Arial" w:cs="Arial"/>
        </w:rPr>
        <w:t>Row 4 provides data regarding what portion of all drug-related arrests reported for any given year are specific to marijuana. </w:t>
      </w:r>
    </w:p>
    <w:p w14:paraId="3B234456" w14:textId="77777777" w:rsidR="00920AAB" w:rsidRDefault="00920AAB" w:rsidP="00920AAB">
      <w:pPr>
        <w:rPr>
          <w:rFonts w:ascii="Arial" w:hAnsi="Arial" w:cs="Arial"/>
        </w:rPr>
      </w:pPr>
      <w:r w:rsidRPr="00920AAB">
        <w:rPr>
          <w:rFonts w:ascii="Arial" w:hAnsi="Arial" w:cs="Arial"/>
        </w:rPr>
        <w:t>Row 5 provides information on the percentage of state law enforcement agencies that reported arrest data for any given year.</w:t>
      </w:r>
    </w:p>
    <w:p w14:paraId="53016F22" w14:textId="77777777" w:rsidR="000C1D70" w:rsidRDefault="000C1D70" w:rsidP="00920AAB">
      <w:pPr>
        <w:rPr>
          <w:rFonts w:ascii="Arial" w:hAnsi="Arial" w:cs="Arial"/>
        </w:rPr>
      </w:pPr>
    </w:p>
    <w:p w14:paraId="791147A9" w14:textId="77777777" w:rsidR="000C1D70" w:rsidRPr="00920AAB" w:rsidRDefault="000C1D70" w:rsidP="00920AAB">
      <w:pPr>
        <w:rPr>
          <w:rFonts w:ascii="Arial" w:hAnsi="Arial" w:cs="Arial"/>
          <w:b/>
          <w:bCs/>
          <w:i/>
          <w:iCs/>
        </w:rPr>
      </w:pPr>
      <w:r w:rsidRPr="000C1D70">
        <w:rPr>
          <w:rFonts w:ascii="Arial" w:hAnsi="Arial" w:cs="Arial"/>
          <w:b/>
          <w:bCs/>
          <w:i/>
          <w:iCs/>
        </w:rPr>
        <w:t>Draft</w:t>
      </w:r>
    </w:p>
    <w:p w14:paraId="26F71635" w14:textId="77777777" w:rsidR="00920AAB" w:rsidRDefault="00920AAB"/>
    <w:sectPr w:rsidR="00920A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5EBE5" w14:textId="77777777" w:rsidR="001A71CD" w:rsidRDefault="001A71CD" w:rsidP="001A71CD">
      <w:pPr>
        <w:spacing w:after="0" w:line="240" w:lineRule="auto"/>
      </w:pPr>
      <w:r>
        <w:separator/>
      </w:r>
    </w:p>
  </w:endnote>
  <w:endnote w:type="continuationSeparator" w:id="0">
    <w:p w14:paraId="1C8AEDB4" w14:textId="77777777" w:rsidR="001A71CD" w:rsidRDefault="001A71CD" w:rsidP="001A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2DEA" w14:textId="77777777" w:rsidR="001A71CD" w:rsidRDefault="001A7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5651" w14:textId="77777777" w:rsidR="001A71CD" w:rsidRDefault="001A71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FC93" w14:textId="77777777" w:rsidR="001A71CD" w:rsidRDefault="001A7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22394" w14:textId="77777777" w:rsidR="001A71CD" w:rsidRDefault="001A71CD" w:rsidP="001A71CD">
      <w:pPr>
        <w:spacing w:after="0" w:line="240" w:lineRule="auto"/>
      </w:pPr>
      <w:r>
        <w:separator/>
      </w:r>
    </w:p>
  </w:footnote>
  <w:footnote w:type="continuationSeparator" w:id="0">
    <w:p w14:paraId="07B79254" w14:textId="77777777" w:rsidR="001A71CD" w:rsidRDefault="001A71CD" w:rsidP="001A7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AD96" w14:textId="77777777" w:rsidR="001A71CD" w:rsidRDefault="001A7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831002"/>
      <w:docPartObj>
        <w:docPartGallery w:val="Watermarks"/>
        <w:docPartUnique/>
      </w:docPartObj>
    </w:sdtPr>
    <w:sdtContent>
      <w:p w14:paraId="2313E14A" w14:textId="6770DD5F" w:rsidR="001A71CD" w:rsidRDefault="001A71CD">
        <w:pPr>
          <w:pStyle w:val="Header"/>
        </w:pPr>
        <w:r>
          <w:rPr>
            <w:noProof/>
          </w:rPr>
          <w:pict w14:anchorId="5E91A0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B4AF" w14:textId="77777777" w:rsidR="001A71CD" w:rsidRDefault="001A71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99"/>
    <w:rsid w:val="000C1D70"/>
    <w:rsid w:val="001A71CD"/>
    <w:rsid w:val="0058046F"/>
    <w:rsid w:val="0069554C"/>
    <w:rsid w:val="00920AAB"/>
    <w:rsid w:val="00D31D99"/>
    <w:rsid w:val="00E0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D70F0E"/>
  <w15:chartTrackingRefBased/>
  <w15:docId w15:val="{908E1791-D5BB-4D08-8855-5AA45A9B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1CD"/>
  </w:style>
  <w:style w:type="paragraph" w:styleId="Footer">
    <w:name w:val="footer"/>
    <w:basedOn w:val="Normal"/>
    <w:link w:val="FooterChar"/>
    <w:uiPriority w:val="99"/>
    <w:unhideWhenUsed/>
    <w:rsid w:val="001A7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83343">
      <w:bodyDiv w:val="1"/>
      <w:marLeft w:val="0"/>
      <w:marRight w:val="0"/>
      <w:marTop w:val="0"/>
      <w:marBottom w:val="0"/>
      <w:divBdr>
        <w:top w:val="none" w:sz="0" w:space="0" w:color="auto"/>
        <w:left w:val="none" w:sz="0" w:space="0" w:color="auto"/>
        <w:bottom w:val="none" w:sz="0" w:space="0" w:color="auto"/>
        <w:right w:val="none" w:sz="0" w:space="0" w:color="auto"/>
      </w:divBdr>
      <w:divsChild>
        <w:div w:id="203253021">
          <w:marLeft w:val="0"/>
          <w:marRight w:val="0"/>
          <w:marTop w:val="0"/>
          <w:marBottom w:val="0"/>
          <w:divBdr>
            <w:top w:val="none" w:sz="0" w:space="0" w:color="auto"/>
            <w:left w:val="none" w:sz="0" w:space="0" w:color="auto"/>
            <w:bottom w:val="none" w:sz="0" w:space="0" w:color="auto"/>
            <w:right w:val="none" w:sz="0" w:space="0" w:color="auto"/>
          </w:divBdr>
        </w:div>
        <w:div w:id="440150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katy.reinecker@gmail.com</dc:creator>
  <cp:keywords/>
  <dc:description/>
  <cp:lastModifiedBy>Amy Campbell</cp:lastModifiedBy>
  <cp:revision>4</cp:revision>
  <dcterms:created xsi:type="dcterms:W3CDTF">2023-01-08T12:19:00Z</dcterms:created>
  <dcterms:modified xsi:type="dcterms:W3CDTF">2023-01-25T13:03:00Z</dcterms:modified>
</cp:coreProperties>
</file>